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三河市1</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急救指挥中心</w:t>
      </w:r>
      <w:r>
        <w:rPr>
          <w:rFonts w:hint="eastAsia" w:ascii="Times New Roman" w:hAnsi="Times New Roman" w:eastAsia="方正小标宋简体" w:cs="Times New Roman"/>
          <w:sz w:val="44"/>
          <w:szCs w:val="44"/>
          <w:lang w:eastAsia="zh-CN"/>
        </w:rPr>
        <w:t>2023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三河市1</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急救指挥中心</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单位</w:t>
      </w:r>
      <w:r>
        <w:rPr>
          <w:rFonts w:ascii="Times New Roman" w:hAnsi="Times New Roman" w:eastAsia="楷体_GB2312" w:cs="Times New Roman"/>
          <w:b/>
          <w:sz w:val="32"/>
          <w:szCs w:val="32"/>
        </w:rPr>
        <w:t>职责：</w:t>
      </w:r>
    </w:p>
    <w:p>
      <w:pPr>
        <w:spacing w:line="480" w:lineRule="exact"/>
        <w:ind w:firstLine="480" w:firstLineChars="200"/>
        <w:jc w:val="left"/>
        <w:rPr>
          <w:rFonts w:cs="仿宋" w:asciiTheme="minorEastAsia" w:hAnsiTheme="minorEastAsia" w:eastAsiaTheme="minorEastAsia"/>
          <w:sz w:val="24"/>
          <w:szCs w:val="24"/>
        </w:rPr>
      </w:pPr>
      <w:r>
        <w:rPr>
          <w:rFonts w:hint="eastAsia" w:asciiTheme="minorEastAsia" w:hAnsiTheme="minorEastAsia" w:eastAsiaTheme="minorEastAsia"/>
          <w:sz w:val="24"/>
          <w:szCs w:val="24"/>
        </w:rPr>
        <w:t>三河市120急救指挥中心成立于2013年,是全省唯一一家县级急救指挥中心。设有办公室、调度指挥科、网络稽查科、医疗培训科、质控科,由9家院前急救网络医院组成，下设11个急救站。运行以来，</w:t>
      </w:r>
      <w:r>
        <w:rPr>
          <w:rFonts w:hint="eastAsia" w:cs="宋体" w:asciiTheme="minorEastAsia" w:hAnsiTheme="minorEastAsia" w:eastAsiaTheme="minorEastAsia"/>
          <w:kern w:val="0"/>
          <w:sz w:val="24"/>
          <w:szCs w:val="24"/>
        </w:rPr>
        <w:t>坚持从硬件配置、队伍建设、知识普及、急救转运四个方面发力，努力打造快速高效的急救体系，为城乡居民的生命安全保驾护航。</w:t>
      </w:r>
      <w:r>
        <w:rPr>
          <w:rFonts w:hint="eastAsia" w:cs="仿宋" w:asciiTheme="minorEastAsia" w:hAnsiTheme="minorEastAsia" w:eastAsiaTheme="minorEastAsia"/>
          <w:sz w:val="24"/>
          <w:szCs w:val="24"/>
        </w:rPr>
        <w:t>“120”急救电话呼通率达100%。</w:t>
      </w:r>
    </w:p>
    <w:p>
      <w:pPr>
        <w:spacing w:line="480" w:lineRule="exact"/>
        <w:ind w:firstLine="480" w:firstLineChars="200"/>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负</w:t>
      </w:r>
      <w:r>
        <w:rPr>
          <w:rFonts w:hint="eastAsia" w:asciiTheme="minorEastAsia" w:hAnsiTheme="minorEastAsia" w:eastAsiaTheme="minorEastAsia"/>
          <w:sz w:val="24"/>
          <w:szCs w:val="24"/>
        </w:rPr>
        <w:t>责全市社会医疗急救的组织、协调、调度和指挥；负责统一管理和使用120医疗急救公共信息资源、24小时受理、反馈医疗急救信息、下达医疗急救任务；负责全市社会医疗急救网络的管理，指导各类医疗单位的急救工作；组织开展社会医疗急救医学知识、技能和宣传培训和突发公共卫生事件的应急医疗救治演练；负责制定各类医疗急救预案，与110、119、122等救援组织保持联系，积极应对全市及周边地区突发事件。</w:t>
      </w:r>
      <w:r>
        <w:rPr>
          <w:rFonts w:hint="eastAsia" w:asciiTheme="minorEastAsia" w:hAnsiTheme="minorEastAsia" w:eastAsiaTheme="minorEastAsia"/>
          <w:sz w:val="24"/>
          <w:szCs w:val="24"/>
        </w:rPr>
        <w:br w:type="textWrapping"/>
      </w:r>
      <w:r>
        <w:rPr>
          <w:rFonts w:hint="eastAsia" w:cs="仿宋" w:asciiTheme="minorEastAsia" w:hAnsiTheme="minorEastAsia" w:eastAsiaTheme="minorEastAsia"/>
          <w:sz w:val="24"/>
          <w:szCs w:val="24"/>
        </w:rPr>
        <w:t xml:space="preserve">    三河市120急救指挥中心承担着市内所有“120”呼救的受理、院前急救的指挥调度和患者转运等工作。负责重大灾害和突发公共卫生事件的院前急救指挥调度任务；在紧急状态下，作为市政府、市卫健局的医疗救护指挥中心；开展我市急救医学领域的科研、教学、培训及学术交流；建立并完善与北京三甲医院的急、危、重症伤病员的急救绿色通道；并分别与北京急救中心、美国心脏协会创建合作关系，建立医疗培训基地，提高院前急救队伍的救治能力和水平。</w:t>
      </w:r>
    </w:p>
    <w:p>
      <w:pPr>
        <w:overflowPunct w:val="0"/>
        <w:spacing w:line="480" w:lineRule="exact"/>
        <w:ind w:firstLine="64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中心调度指挥大厅引进国内先进的120急救指挥系统，可实现全程计算机调度同步实时录音、急救车辆GPS、视频监控等功能，可容纳8个调度员同时接警。现有的9家网络医院、1家急救站点均配备了急救分站系统，共有院前急救和院内医护人员238名，配备21辆救护车，均安装了GPS卫星定位监控系统。中心根据“就急、就近、就专科、就患者意愿”的原则，将求助患者的相关信息在第一时间通过无线网络发送到急救分站计算机终端，急救分站医护人收到出车信息后快速前往救护。</w:t>
      </w:r>
    </w:p>
    <w:p>
      <w:pPr>
        <w:overflowPunct w:val="0"/>
        <w:spacing w:line="480" w:lineRule="exact"/>
        <w:ind w:firstLine="640"/>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培训医疗工作主要负责组织中心及网络医院急诊医务人员的业务知识及专业技能，进修和技术考核，不断提高业务能力，提升急救质量；完善各急救站院前急救与各医疗单位院内急救的衔接管理、质控检查；制定各急救站院前急救医护人员培训教学计划，选派教师，安排课表，以及对培训教学过程的管理，制定院前医疗急救工作规范，质量监督，控制考核标准及相关管理制度；提高人民群众应对突发事件的应急意识和综合素养，组织志愿者常态化开展急救知识“五进”活动，进社区、进学校、进单位、进企业、进农村，现场为群众培训急救知识，发放宣传手册。</w:t>
      </w:r>
    </w:p>
    <w:p>
      <w:pPr>
        <w:spacing w:line="584" w:lineRule="exact"/>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三河市1</w:t>
            </w:r>
            <w:r>
              <w:rPr>
                <w:rFonts w:ascii="Times New Roman" w:hAnsi="Times New Roman" w:eastAsia="仿宋_GB2312" w:cs="Times New Roman"/>
                <w:b/>
              </w:rPr>
              <w:t>20</w:t>
            </w:r>
            <w:r>
              <w:rPr>
                <w:rFonts w:hint="eastAsia" w:ascii="Times New Roman" w:hAnsi="Times New Roman" w:eastAsia="仿宋_GB2312" w:cs="Times New Roman"/>
                <w:b/>
              </w:rPr>
              <w:t>急救指挥中心</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事业</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正股级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差额事业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仿宋" w:cs="Times New Roman"/>
          <w:color w:val="FF0000"/>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按照预算管理有关规定，目前我市单位预算的编制实行综合预算制度，即全部收入和支出都反映在预算中。三河市1</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急救指挥中心收支包含在单位预算中。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反映本单位当年全部收入。</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401.91</w:t>
      </w:r>
      <w:r>
        <w:rPr>
          <w:rFonts w:hint="eastAsia"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401.91</w:t>
      </w:r>
      <w:r>
        <w:rPr>
          <w:rFonts w:hint="eastAsia" w:ascii="Times New Roman" w:hAnsi="Times New Roman" w:eastAsia="仿宋_GB2312" w:cs="Times New Roman"/>
          <w:sz w:val="32"/>
          <w:szCs w:val="32"/>
        </w:rPr>
        <w:t>万元，基金预算收入</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万元，财政专户核拨收入</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万元，其他来源收入</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万元，上年结转</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万元（有则写，无则填</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收支预算总表支出栏、基本支出表、项目支出表按经济分类和支出功能分类科目编制，反映三河市1</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急救指挥中心</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年度单位预算中支出预算的总体情况。</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401.91</w:t>
      </w:r>
      <w:r>
        <w:rPr>
          <w:rFonts w:hint="eastAsia"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401.91</w:t>
      </w:r>
      <w:r>
        <w:rPr>
          <w:rFonts w:hint="eastAsia"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372.46</w:t>
      </w:r>
      <w:r>
        <w:rPr>
          <w:rFonts w:hint="eastAsia" w:ascii="Times New Roman" w:hAnsi="Times New Roman" w:eastAsia="仿宋_GB2312" w:cs="Times New Roman"/>
          <w:sz w:val="32"/>
          <w:szCs w:val="32"/>
        </w:rPr>
        <w:t>万元和运转类公用项目经费</w:t>
      </w:r>
      <w:r>
        <w:rPr>
          <w:rFonts w:hint="eastAsia" w:ascii="Times New Roman" w:hAnsi="Times New Roman" w:eastAsia="仿宋_GB2312" w:cs="Times New Roman"/>
          <w:sz w:val="32"/>
          <w:szCs w:val="32"/>
          <w:lang w:val="en-US" w:eastAsia="zh-CN"/>
        </w:rPr>
        <w:t>29.45</w:t>
      </w:r>
      <w:r>
        <w:rPr>
          <w:rFonts w:hint="eastAsia"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2023</w:t>
      </w:r>
      <w:r>
        <w:rPr>
          <w:rFonts w:hint="eastAsia"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401.91</w:t>
      </w:r>
      <w:r>
        <w:rPr>
          <w:rFonts w:hint="eastAsia" w:ascii="Times New Roman" w:hAnsi="Times New Roman" w:eastAsia="仿宋_GB2312" w:cs="Times New Roman"/>
          <w:sz w:val="32"/>
          <w:szCs w:val="32"/>
        </w:rPr>
        <w:t>万元，较</w:t>
      </w:r>
      <w:r>
        <w:rPr>
          <w:rFonts w:hint="eastAsia" w:ascii="Times New Roman" w:hAnsi="Times New Roman" w:eastAsia="仿宋_GB2312" w:cs="Times New Roman"/>
          <w:sz w:val="32"/>
          <w:szCs w:val="32"/>
          <w:lang w:eastAsia="zh-CN"/>
        </w:rPr>
        <w:t>2022</w:t>
      </w:r>
      <w:r>
        <w:rPr>
          <w:rFonts w:hint="eastAsia"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80.21</w:t>
      </w:r>
      <w:r>
        <w:rPr>
          <w:rFonts w:hint="eastAsia"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80.21</w:t>
      </w:r>
      <w:r>
        <w:rPr>
          <w:rFonts w:hint="eastAsia" w:ascii="Times New Roman" w:hAnsi="Times New Roman" w:eastAsia="仿宋_GB2312" w:cs="Times New Roman"/>
          <w:sz w:val="32"/>
          <w:szCs w:val="32"/>
        </w:rPr>
        <w:t>万元，主要为人员类项目经费支出。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w:t>
      </w:r>
      <w:r>
        <w:rPr>
          <w:rFonts w:hint="eastAsia" w:ascii="Times New Roman" w:hAnsi="Times New Roman" w:eastAsia="黑体" w:cs="Times New Roman"/>
          <w:sz w:val="32"/>
          <w:szCs w:val="32"/>
        </w:rPr>
        <w:t>单位公用经费安排情况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2023</w:t>
      </w:r>
      <w:r>
        <w:rPr>
          <w:rFonts w:hint="eastAsia" w:ascii="Times New Roman" w:hAnsi="Times New Roman" w:eastAsia="仿宋_GB2312" w:cs="Times New Roman"/>
          <w:sz w:val="32"/>
          <w:szCs w:val="32"/>
        </w:rPr>
        <w:t>年，我单位运行经费共计安排</w:t>
      </w:r>
      <w:r>
        <w:rPr>
          <w:rFonts w:hint="eastAsia" w:ascii="Times New Roman" w:hAnsi="Times New Roman" w:eastAsia="仿宋_GB2312" w:cs="Times New Roman"/>
          <w:sz w:val="32"/>
          <w:szCs w:val="32"/>
          <w:lang w:val="en-US" w:eastAsia="zh-CN"/>
        </w:rPr>
        <w:t>29.45</w:t>
      </w:r>
      <w:r>
        <w:rPr>
          <w:rFonts w:hint="eastAsia" w:ascii="Times New Roman" w:hAnsi="Times New Roman" w:eastAsia="仿宋_GB2312" w:cs="Times New Roman"/>
          <w:sz w:val="32"/>
          <w:szCs w:val="32"/>
        </w:rPr>
        <w:t>万元，主要用于业务办公区的日常维修、办公用房水电费、办公用房取暖费、办公用房物业管理费等日常运行支出。</w:t>
      </w:r>
    </w:p>
    <w:p>
      <w:pPr>
        <w:autoSpaceDE w:val="0"/>
        <w:autoSpaceDN w:val="0"/>
        <w:adjustRightInd w:val="0"/>
        <w:spacing w:line="584" w:lineRule="exact"/>
        <w:ind w:firstLine="627" w:firstLineChars="196"/>
        <w:jc w:val="left"/>
        <w:rPr>
          <w:rFonts w:ascii="黑体" w:hAnsi="黑体" w:eastAsia="黑体" w:cs="黑体"/>
          <w:bCs/>
          <w:sz w:val="32"/>
          <w:szCs w:val="32"/>
        </w:rPr>
      </w:pPr>
      <w:r>
        <w:rPr>
          <w:rFonts w:hint="eastAsia" w:ascii="黑体" w:hAnsi="黑体" w:eastAsia="黑体" w:cs="黑体"/>
          <w:bCs/>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2023</w:t>
      </w:r>
      <w:r>
        <w:rPr>
          <w:rFonts w:hint="eastAsia" w:ascii="Times New Roman" w:hAnsi="Times New Roman" w:eastAsia="仿宋_GB2312" w:cs="Times New Roman"/>
          <w:sz w:val="32"/>
          <w:szCs w:val="32"/>
        </w:rPr>
        <w:t>年，我单位财政拨款</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三公</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经费预算安排</w:t>
      </w:r>
      <w:r>
        <w:rPr>
          <w:rFonts w:ascii="Times New Roman" w:hAnsi="Times New Roman" w:eastAsia="仿宋_GB2312" w:cs="Times New Roman"/>
          <w:sz w:val="32"/>
          <w:szCs w:val="32"/>
        </w:rPr>
        <w:t>12.06</w:t>
      </w:r>
      <w:r>
        <w:rPr>
          <w:rFonts w:hint="eastAsia" w:ascii="Times New Roman" w:hAnsi="Times New Roman" w:eastAsia="仿宋_GB2312" w:cs="Times New Roman"/>
          <w:sz w:val="32"/>
          <w:szCs w:val="32"/>
        </w:rPr>
        <w:t>万元。其中，因公出国（境）费</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万元；公务用车购置及运维费</w:t>
      </w:r>
      <w:r>
        <w:rPr>
          <w:rFonts w:ascii="Times New Roman" w:hAnsi="Times New Roman" w:eastAsia="仿宋_GB2312" w:cs="Times New Roman"/>
          <w:sz w:val="32"/>
          <w:szCs w:val="32"/>
        </w:rPr>
        <w:t>12.06</w:t>
      </w:r>
      <w:r>
        <w:rPr>
          <w:rFonts w:hint="eastAsia" w:ascii="Times New Roman" w:hAnsi="Times New Roman" w:eastAsia="仿宋_GB2312" w:cs="Times New Roman"/>
          <w:sz w:val="32"/>
          <w:szCs w:val="32"/>
        </w:rPr>
        <w:t>万元（其中：公务用车购置费为</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万元，公务用车运维费</w:t>
      </w:r>
      <w:r>
        <w:rPr>
          <w:rFonts w:ascii="Times New Roman" w:hAnsi="Times New Roman" w:eastAsia="仿宋_GB2312" w:cs="Times New Roman"/>
          <w:sz w:val="32"/>
          <w:szCs w:val="32"/>
        </w:rPr>
        <w:t>12.06</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；公务接待费</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万元。与</w:t>
      </w:r>
      <w:r>
        <w:rPr>
          <w:rFonts w:hint="eastAsia" w:ascii="Times New Roman" w:hAnsi="Times New Roman" w:eastAsia="仿宋_GB2312" w:cs="Times New Roman"/>
          <w:sz w:val="32"/>
          <w:szCs w:val="32"/>
          <w:lang w:eastAsia="zh-CN"/>
        </w:rPr>
        <w:t>2022</w:t>
      </w:r>
      <w:r>
        <w:rPr>
          <w:rFonts w:hint="eastAsia" w:ascii="Times New Roman" w:hAnsi="Times New Roman" w:eastAsia="仿宋_GB2312" w:cs="Times New Roman"/>
          <w:sz w:val="32"/>
          <w:szCs w:val="32"/>
        </w:rPr>
        <w:t>年相比持平，无增减变化。</w:t>
      </w:r>
    </w:p>
    <w:p>
      <w:pPr>
        <w:numPr>
          <w:ilvl w:val="0"/>
          <w:numId w:val="1"/>
        </w:num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预算绩效信息</w:t>
      </w:r>
    </w:p>
    <w:p>
      <w:pPr>
        <w:numPr>
          <w:ilvl w:val="0"/>
          <w:numId w:val="0"/>
        </w:num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960" w:firstLineChars="3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此项无内容</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960" w:firstLineChars="3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此项无内容</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960" w:firstLineChars="300"/>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此项无内容</w:t>
      </w:r>
    </w:p>
    <w:p>
      <w:pPr>
        <w:numPr>
          <w:ilvl w:val="0"/>
          <w:numId w:val="2"/>
        </w:num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rPr>
        <w:t>部门整体支出绩效指标</w:t>
      </w:r>
    </w:p>
    <w:p>
      <w:pPr>
        <w:spacing w:line="584" w:lineRule="exact"/>
        <w:ind w:firstLine="643" w:firstLineChars="200"/>
        <w:rPr>
          <w:rFonts w:hint="default" w:ascii="楷体_GB2312" w:eastAsia="楷体_GB2312" w:cs="Times New Roman"/>
          <w:b/>
          <w:sz w:val="32"/>
          <w:szCs w:val="32"/>
          <w:lang w:val="en-US" w:eastAsia="zh-CN"/>
        </w:rPr>
      </w:pPr>
      <w:r>
        <w:rPr>
          <w:rFonts w:hint="eastAsia" w:ascii="楷体_GB2312" w:eastAsia="楷体_GB2312" w:cs="Times New Roman"/>
          <w:b/>
          <w:sz w:val="32"/>
          <w:szCs w:val="32"/>
          <w:lang w:val="en-US" w:eastAsia="zh-CN"/>
        </w:rPr>
        <w:t xml:space="preserve">  </w:t>
      </w:r>
      <w:r>
        <w:rPr>
          <w:rFonts w:hint="eastAsia" w:ascii="仿宋_GB2312" w:eastAsia="仿宋_GB2312" w:cs="Times New Roman"/>
          <w:sz w:val="32"/>
          <w:szCs w:val="32"/>
          <w:lang w:val="en-US" w:eastAsia="zh-CN"/>
        </w:rPr>
        <w:t>此项无内容</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第二部分资金绩效目标</w:t>
      </w:r>
    </w:p>
    <w:p>
      <w:pPr>
        <w:spacing w:line="584" w:lineRule="exact"/>
        <w:ind w:firstLine="440" w:firstLineChars="100"/>
        <w:rPr>
          <w:rFonts w:hint="default" w:ascii="Times New Roman" w:hAnsi="Times New Roman" w:eastAsia="黑体" w:cs="Times New Roman"/>
          <w:color w:val="FF0000"/>
          <w:sz w:val="44"/>
          <w:szCs w:val="44"/>
          <w:lang w:val="en-US" w:eastAsia="zh-CN"/>
        </w:rPr>
      </w:pPr>
      <w:r>
        <w:rPr>
          <w:rFonts w:hint="eastAsia" w:ascii="Times New Roman" w:hAnsi="Times New Roman" w:eastAsia="黑体" w:cs="Times New Roman"/>
          <w:color w:val="FF0000"/>
          <w:sz w:val="44"/>
          <w:szCs w:val="44"/>
          <w:lang w:val="en-US" w:eastAsia="zh-CN"/>
        </w:rPr>
        <w:t xml:space="preserve">  </w:t>
      </w:r>
      <w:r>
        <w:rPr>
          <w:rFonts w:hint="eastAsia" w:ascii="仿宋_GB2312" w:eastAsia="仿宋_GB2312" w:cs="Times New Roman"/>
          <w:sz w:val="32"/>
          <w:szCs w:val="32"/>
          <w:lang w:val="en-US" w:eastAsia="zh-CN"/>
        </w:rPr>
        <w:t>此项无内容</w:t>
      </w:r>
    </w:p>
    <w:p>
      <w:pPr>
        <w:numPr>
          <w:ilvl w:val="0"/>
          <w:numId w:val="1"/>
        </w:numPr>
        <w:autoSpaceDE w:val="0"/>
        <w:autoSpaceDN w:val="0"/>
        <w:adjustRightInd w:val="0"/>
        <w:spacing w:line="584" w:lineRule="exact"/>
        <w:ind w:left="0" w:leftChars="0"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政府采购预算情况</w:t>
      </w:r>
    </w:p>
    <w:p>
      <w:pPr>
        <w:numPr>
          <w:ilvl w:val="0"/>
          <w:numId w:val="0"/>
        </w:numPr>
        <w:autoSpaceDE w:val="0"/>
        <w:autoSpaceDN w:val="0"/>
        <w:adjustRightInd w:val="0"/>
        <w:spacing w:line="584" w:lineRule="exact"/>
        <w:ind w:leftChars="200" w:firstLine="320" w:firstLineChars="100"/>
        <w:jc w:val="left"/>
        <w:rPr>
          <w:rFonts w:hint="eastAsia" w:ascii="Times New Roman" w:hAnsi="Times New Roman" w:eastAsia="仿宋_GB2312" w:cs="Times New Roman"/>
          <w:sz w:val="32"/>
          <w:szCs w:val="32"/>
        </w:rPr>
      </w:pPr>
      <w:r>
        <w:rPr>
          <w:rFonts w:hint="eastAsia" w:ascii="仿宋_GB2312" w:eastAsia="仿宋_GB2312" w:cs="Times New Roman"/>
          <w:sz w:val="32"/>
          <w:szCs w:val="32"/>
          <w:lang w:val="en-US" w:eastAsia="zh-CN"/>
        </w:rPr>
        <w:t>此项无内容</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p>
    <w:p>
      <w:pPr>
        <w:spacing w:line="500" w:lineRule="exact"/>
        <w:ind w:firstLine="420"/>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七</w:t>
      </w:r>
      <w:r>
        <w:rPr>
          <w:rFonts w:hint="eastAsia" w:ascii="Times New Roman" w:hAnsi="Times New Roman" w:eastAsia="黑体" w:cs="Times New Roman"/>
          <w:sz w:val="32"/>
          <w:szCs w:val="32"/>
        </w:rPr>
        <w:t>、国有资产信息</w:t>
      </w:r>
    </w:p>
    <w:p>
      <w:pPr>
        <w:spacing w:line="584" w:lineRule="exact"/>
        <w:ind w:firstLine="64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三河市1</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急救指挥中心上年末固定资产金额为</w:t>
      </w:r>
      <w:r>
        <w:rPr>
          <w:rFonts w:hint="eastAsia" w:ascii="Times New Roman" w:hAnsi="Times New Roman" w:eastAsia="仿宋_GB2312" w:cs="Times New Roman"/>
          <w:sz w:val="32"/>
          <w:szCs w:val="32"/>
          <w:lang w:val="en-US" w:eastAsia="zh-CN"/>
        </w:rPr>
        <w:t>1116.80</w:t>
      </w:r>
      <w:r>
        <w:rPr>
          <w:rFonts w:hint="eastAsia" w:ascii="Times New Roman" w:hAnsi="Times New Roman" w:eastAsia="仿宋_GB2312" w:cs="Times New Roman"/>
          <w:sz w:val="32"/>
          <w:szCs w:val="32"/>
        </w:rPr>
        <w:t>万元（详见下表），本年度我单位拟购置固定资产总额为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bookmarkStart w:id="0" w:name="_GoBack"/>
      <w:bookmarkEnd w:id="0"/>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三河市市直单位固定资产占用情况表</w:t>
            </w:r>
          </w:p>
        </w:tc>
      </w:tr>
      <w:tr>
        <w:tblPrEx>
          <w:tblCellMar>
            <w:top w:w="0" w:type="dxa"/>
            <w:left w:w="108" w:type="dxa"/>
            <w:bottom w:w="0" w:type="dxa"/>
            <w:right w:w="108" w:type="dxa"/>
          </w:tblCellMar>
        </w:tblPrEx>
        <w:trPr>
          <w:trHeight w:val="510" w:hRule="atLeast"/>
        </w:trPr>
        <w:tc>
          <w:tcPr>
            <w:tcW w:w="8379" w:type="dxa"/>
            <w:gridSpan w:val="2"/>
            <w:noWrap/>
            <w:vAlign w:val="center"/>
          </w:tcPr>
          <w:p>
            <w:pPr>
              <w:widowControl/>
              <w:spacing w:line="584" w:lineRule="exact"/>
              <w:jc w:val="left"/>
              <w:rPr>
                <w:rFonts w:ascii="Times New Roman" w:hAnsi="Times New Roman" w:eastAsia="仿宋_GB2312" w:cs="Times New Roman"/>
                <w:kern w:val="0"/>
                <w:sz w:val="22"/>
              </w:rPr>
            </w:pPr>
            <w:r>
              <w:rPr>
                <w:rFonts w:hint="eastAsia" w:ascii="Times New Roman" w:hAnsi="Times New Roman" w:eastAsia="仿宋_GB2312" w:cs="Times New Roman"/>
                <w:kern w:val="0"/>
                <w:sz w:val="22"/>
              </w:rPr>
              <w:t>编制单位：三河市1</w:t>
            </w:r>
            <w:r>
              <w:rPr>
                <w:rFonts w:ascii="Times New Roman" w:hAnsi="Times New Roman" w:eastAsia="仿宋_GB2312" w:cs="Times New Roman"/>
                <w:kern w:val="0"/>
                <w:sz w:val="22"/>
              </w:rPr>
              <w:t>20</w:t>
            </w:r>
            <w:r>
              <w:rPr>
                <w:rFonts w:hint="eastAsia" w:ascii="Times New Roman" w:hAnsi="Times New Roman" w:eastAsia="仿宋_GB2312" w:cs="Times New Roman"/>
                <w:kern w:val="0"/>
                <w:sz w:val="22"/>
              </w:rPr>
              <w:t>急救指挥中心</w:t>
            </w:r>
          </w:p>
          <w:p>
            <w:pPr>
              <w:widowControl/>
              <w:spacing w:line="584" w:lineRule="exact"/>
              <w:jc w:val="left"/>
              <w:rPr>
                <w:rFonts w:hint="eastAsia" w:ascii="Times New Roman" w:hAnsi="Times New Roman" w:eastAsia="仿宋_GB2312" w:cs="Times New Roman"/>
                <w:kern w:val="0"/>
                <w:sz w:val="22"/>
              </w:rPr>
            </w:pPr>
          </w:p>
        </w:tc>
        <w:tc>
          <w:tcPr>
            <w:tcW w:w="5103" w:type="dxa"/>
            <w:noWrap/>
            <w:vAlign w:val="center"/>
          </w:tcPr>
          <w:p>
            <w:pPr>
              <w:widowControl/>
              <w:spacing w:line="584" w:lineRule="exact"/>
              <w:jc w:val="left"/>
              <w:rPr>
                <w:rFonts w:ascii="Times New Roman" w:hAnsi="Times New Roman" w:eastAsia="仿宋_GB2312" w:cs="Times New Roman"/>
                <w:kern w:val="0"/>
                <w:sz w:val="22"/>
              </w:rPr>
            </w:pPr>
            <w:r>
              <w:rPr>
                <w:rFonts w:hint="eastAsia" w:ascii="Times New Roman" w:hAnsi="Times New Roman" w:eastAsia="仿宋_GB2312" w:cs="Times New Roman"/>
                <w:kern w:val="0"/>
                <w:sz w:val="22"/>
              </w:rPr>
              <w:t>截止时间：</w:t>
            </w:r>
            <w:r>
              <w:rPr>
                <w:rFonts w:hint="eastAsia" w:ascii="Times New Roman" w:hAnsi="Times New Roman" w:eastAsia="仿宋_GB2312" w:cs="Times New Roman"/>
                <w:kern w:val="0"/>
                <w:sz w:val="22"/>
                <w:lang w:eastAsia="zh-CN"/>
              </w:rPr>
              <w:t>2022</w:t>
            </w:r>
            <w:r>
              <w:rPr>
                <w:rFonts w:hint="eastAsia" w:ascii="Times New Roman" w:hAnsi="Times New Roman" w:eastAsia="仿宋_GB2312" w:cs="Times New Roman"/>
                <w:kern w:val="0"/>
                <w:sz w:val="22"/>
              </w:rPr>
              <w:t>年</w:t>
            </w:r>
            <w:r>
              <w:rPr>
                <w:rFonts w:ascii="Times New Roman" w:hAnsi="Times New Roman" w:eastAsia="仿宋_GB2312" w:cs="Times New Roman"/>
                <w:kern w:val="0"/>
                <w:sz w:val="22"/>
              </w:rPr>
              <w:t>12</w:t>
            </w:r>
            <w:r>
              <w:rPr>
                <w:rFonts w:hint="eastAsia" w:ascii="Times New Roman" w:hAnsi="Times New Roman" w:eastAsia="仿宋_GB2312" w:cs="Times New Roman"/>
                <w:kern w:val="0"/>
                <w:sz w:val="22"/>
              </w:rPr>
              <w:t>月</w:t>
            </w:r>
            <w:r>
              <w:rPr>
                <w:rFonts w:ascii="Times New Roman" w:hAnsi="Times New Roman" w:eastAsia="仿宋_GB2312" w:cs="Times New Roman"/>
                <w:kern w:val="0"/>
                <w:sz w:val="22"/>
              </w:rPr>
              <w:t>31</w:t>
            </w:r>
            <w:r>
              <w:rPr>
                <w:rFonts w:hint="eastAsia" w:ascii="Times New Roman" w:hAnsi="Times New Roman" w:eastAsia="仿宋_GB2312" w:cs="Times New Roman"/>
                <w:kern w:val="0"/>
                <w:sz w:val="22"/>
              </w:rPr>
              <w:t>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b/>
                <w:bCs/>
                <w:kern w:val="0"/>
                <w:sz w:val="22"/>
              </w:rPr>
            </w:pPr>
            <w:r>
              <w:rPr>
                <w:rFonts w:hint="eastAsia"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b/>
                <w:bCs/>
                <w:kern w:val="0"/>
                <w:sz w:val="22"/>
              </w:rPr>
            </w:pPr>
            <w:r>
              <w:rPr>
                <w:rFonts w:hint="eastAsia"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b/>
                <w:bCs/>
                <w:kern w:val="0"/>
                <w:sz w:val="22"/>
              </w:rPr>
            </w:pPr>
            <w:r>
              <w:rPr>
                <w:rFonts w:hint="eastAsia"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hint="eastAsia"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1116.80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r>
              <w:rPr>
                <w:rFonts w:hint="eastAsia" w:ascii="Times New Roman" w:hAnsi="Times New Roman" w:eastAsia="仿宋_GB2312" w:cs="Times New Roman"/>
                <w:kern w:val="0"/>
                <w:sz w:val="22"/>
              </w:rPr>
              <w:t>、房屋（平方米）</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noWrap/>
            <w:vAlign w:val="center"/>
          </w:tcPr>
          <w:p>
            <w:pPr>
              <w:tabs>
                <w:tab w:val="left" w:pos="1710"/>
              </w:tabs>
              <w:spacing w:line="584" w:lineRule="exact"/>
              <w:jc w:val="left"/>
              <w:rPr>
                <w:rFonts w:ascii="Times New Roman" w:hAnsi="Times New Roman" w:eastAsia="仿宋_GB2312" w:cs="Times New Roman"/>
                <w:sz w:val="22"/>
              </w:rPr>
            </w:pPr>
            <w:r>
              <w:rPr>
                <w:rFonts w:ascii="Times New Roman" w:hAnsi="Times New Roman" w:eastAsia="仿宋_GB2312" w:cs="Times New Roman"/>
                <w:sz w:val="22"/>
              </w:rPr>
              <w:tab/>
            </w:r>
            <w:r>
              <w:rPr>
                <w:rFonts w:ascii="Times New Roman" w:hAnsi="Times New Roman" w:eastAsia="仿宋_GB2312" w:cs="Times New Roman"/>
                <w:sz w:val="22"/>
              </w:rPr>
              <w:t xml:space="preserve"> </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hint="eastAsia"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w:t>
            </w:r>
            <w:r>
              <w:rPr>
                <w:rFonts w:hint="eastAsia" w:ascii="Times New Roman" w:hAnsi="Times New Roman" w:eastAsia="仿宋_GB2312" w:cs="Times New Roman"/>
                <w:kern w:val="0"/>
                <w:sz w:val="22"/>
              </w:rPr>
              <w:t>、车辆（台、辆）</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6</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287.34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w:t>
            </w:r>
            <w:r>
              <w:rPr>
                <w:rFonts w:hint="eastAsia" w:ascii="Times New Roman" w:hAnsi="Times New Roman" w:eastAsia="仿宋_GB2312" w:cs="Times New Roman"/>
                <w:kern w:val="0"/>
                <w:sz w:val="22"/>
              </w:rPr>
              <w:t>、单价在</w:t>
            </w:r>
            <w:r>
              <w:rPr>
                <w:rFonts w:ascii="Times New Roman" w:hAnsi="Times New Roman" w:eastAsia="仿宋_GB2312" w:cs="Times New Roman"/>
                <w:kern w:val="0"/>
                <w:sz w:val="22"/>
              </w:rPr>
              <w:t>20</w:t>
            </w:r>
            <w:r>
              <w:rPr>
                <w:rFonts w:hint="eastAsia" w:ascii="Times New Roman" w:hAnsi="Times New Roman" w:eastAsia="仿宋_GB2312" w:cs="Times New Roman"/>
                <w:kern w:val="0"/>
                <w:sz w:val="22"/>
              </w:rPr>
              <w:t>万元以上的设备</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w:t>
            </w:r>
            <w:r>
              <w:rPr>
                <w:rFonts w:hint="eastAsia" w:ascii="Times New Roman" w:hAnsi="Times New Roman" w:eastAsia="仿宋_GB2312" w:cs="Times New Roman"/>
                <w:kern w:val="0"/>
                <w:sz w:val="22"/>
              </w:rPr>
              <w:t>、其他固定资产</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163</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829.46</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八</w:t>
      </w:r>
      <w:r>
        <w:rPr>
          <w:rFonts w:hint="eastAsia" w:ascii="Times New Roman" w:hAnsi="Times New Roman" w:eastAsia="黑体" w:cs="Times New Roman"/>
          <w:sz w:val="32"/>
          <w:szCs w:val="32"/>
        </w:rPr>
        <w:t>、名词解释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w:t>
      </w:r>
      <w:r>
        <w:rPr>
          <w:rFonts w:hint="eastAsia" w:ascii="Times New Roman" w:hAnsi="Times New Roman" w:eastAsia="仿宋_GB2312" w:cs="Times New Roman"/>
          <w:b/>
          <w:sz w:val="32"/>
          <w:szCs w:val="32"/>
        </w:rPr>
        <w:t>、一般公共预算拨款收入：</w:t>
      </w:r>
      <w:r>
        <w:rPr>
          <w:rFonts w:hint="eastAsia" w:ascii="Times New Roman" w:hAnsi="Times New Roman" w:eastAsia="仿宋_GB2312" w:cs="Times New Roman"/>
          <w:sz w:val="32"/>
          <w:szCs w:val="32"/>
        </w:rPr>
        <w:t>指市级财政当年拨付的资金。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w:t>
      </w:r>
      <w:r>
        <w:rPr>
          <w:rFonts w:hint="eastAsia" w:ascii="Times New Roman" w:hAnsi="Times New Roman" w:eastAsia="仿宋_GB2312" w:cs="Times New Roman"/>
          <w:b/>
          <w:sz w:val="32"/>
          <w:szCs w:val="32"/>
        </w:rPr>
        <w:t>、事业收入：</w:t>
      </w:r>
      <w:r>
        <w:rPr>
          <w:rFonts w:hint="eastAsia"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w:t>
      </w:r>
      <w:r>
        <w:rPr>
          <w:rFonts w:hint="eastAsia" w:ascii="Times New Roman" w:hAnsi="Times New Roman" w:eastAsia="仿宋_GB2312" w:cs="Times New Roman"/>
          <w:b/>
          <w:sz w:val="32"/>
          <w:szCs w:val="32"/>
        </w:rPr>
        <w:t>、其他收入：</w:t>
      </w:r>
      <w:r>
        <w:rPr>
          <w:rFonts w:hint="eastAsia" w:ascii="Times New Roman" w:hAnsi="Times New Roman" w:eastAsia="仿宋_GB2312" w:cs="Times New Roman"/>
          <w:sz w:val="32"/>
          <w:szCs w:val="32"/>
        </w:rPr>
        <w:t>指除</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一般公共预算拨款收入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事业收入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w:t>
      </w:r>
      <w:r>
        <w:rPr>
          <w:rFonts w:hint="eastAsia" w:ascii="Times New Roman" w:hAnsi="Times New Roman" w:eastAsia="仿宋_GB2312" w:cs="Times New Roman"/>
          <w:b/>
          <w:sz w:val="32"/>
          <w:szCs w:val="32"/>
        </w:rPr>
        <w:t>、基本支出：</w:t>
      </w:r>
      <w:r>
        <w:rPr>
          <w:rFonts w:hint="eastAsia"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w:t>
      </w:r>
      <w:r>
        <w:rPr>
          <w:rFonts w:hint="eastAsia" w:ascii="Times New Roman" w:hAnsi="Times New Roman" w:eastAsia="仿宋_GB2312" w:cs="Times New Roman"/>
          <w:b/>
          <w:sz w:val="32"/>
          <w:szCs w:val="32"/>
        </w:rPr>
        <w:t>、项目支出：</w:t>
      </w:r>
      <w:r>
        <w:rPr>
          <w:rFonts w:hint="eastAsia"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w:t>
      </w:r>
      <w:r>
        <w:rPr>
          <w:rFonts w:hint="eastAsia" w:ascii="Times New Roman" w:hAnsi="Times New Roman" w:eastAsia="仿宋_GB2312" w:cs="Times New Roman"/>
          <w:b/>
          <w:sz w:val="32"/>
          <w:szCs w:val="32"/>
        </w:rPr>
        <w:t>、上缴上级支出：</w:t>
      </w:r>
      <w:r>
        <w:rPr>
          <w:rFonts w:hint="eastAsia"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w:t>
      </w: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三公</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经费：</w:t>
      </w:r>
      <w:r>
        <w:rPr>
          <w:rFonts w:hint="eastAsia" w:ascii="Times New Roman" w:hAnsi="Times New Roman" w:eastAsia="仿宋_GB2312" w:cs="Times New Roman"/>
          <w:sz w:val="32"/>
          <w:szCs w:val="32"/>
        </w:rPr>
        <w:t>纳入市级财政预算管理的</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三公</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经费，是指市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w:t>
      </w:r>
      <w:r>
        <w:rPr>
          <w:rFonts w:hint="eastAsia" w:ascii="Times New Roman" w:hAnsi="Times New Roman" w:eastAsia="仿宋_GB2312" w:cs="Times New Roman"/>
          <w:b/>
          <w:sz w:val="32"/>
          <w:szCs w:val="32"/>
        </w:rPr>
        <w:t>、机关运行费：</w:t>
      </w:r>
      <w:r>
        <w:rPr>
          <w:rFonts w:hint="eastAsia"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w:t>
      </w:r>
      <w:r>
        <w:rPr>
          <w:rFonts w:hint="eastAsia" w:ascii="Times New Roman" w:hAnsi="Times New Roman" w:eastAsia="仿宋_GB2312" w:cs="Times New Roman"/>
          <w:b/>
          <w:sz w:val="32"/>
          <w:szCs w:val="32"/>
        </w:rPr>
        <w:t>、上年结转：</w:t>
      </w:r>
      <w:r>
        <w:rPr>
          <w:rFonts w:hint="eastAsia"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w:t>
      </w:r>
      <w:r>
        <w:rPr>
          <w:rFonts w:hint="eastAsia" w:ascii="Times New Roman" w:hAnsi="Times New Roman" w:eastAsia="仿宋_GB2312" w:cs="Times New Roman"/>
          <w:b/>
          <w:sz w:val="32"/>
          <w:szCs w:val="32"/>
        </w:rPr>
        <w:t>、事业单位经营支出：</w:t>
      </w:r>
      <w:r>
        <w:rPr>
          <w:rFonts w:hint="eastAsia"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九</w:t>
      </w:r>
      <w:r>
        <w:rPr>
          <w:rFonts w:hint="eastAsia" w:ascii="Times New Roman" w:hAnsi="Times New Roman" w:eastAsia="黑体" w:cs="Times New Roman"/>
          <w:sz w:val="32"/>
          <w:szCs w:val="32"/>
        </w:rPr>
        <w:t>、其他需要说明的事项</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我单位无其他需要说明的事项。</w:t>
      </w:r>
    </w:p>
    <w:p>
      <w:pPr>
        <w:spacing w:line="584" w:lineRule="exact"/>
        <w:ind w:firstLine="640" w:firstLineChars="200"/>
        <w:rPr>
          <w:rFonts w:ascii="Times New Roman" w:hAnsi="Times New Roman" w:eastAsia="仿宋_GB2312" w:cs="Times New Roman"/>
          <w:sz w:val="32"/>
          <w:szCs w:val="32"/>
        </w:rPr>
      </w:pP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CC7B49"/>
    <w:multiLevelType w:val="singleLevel"/>
    <w:tmpl w:val="2FCC7B49"/>
    <w:lvl w:ilvl="0" w:tentative="0">
      <w:start w:val="5"/>
      <w:numFmt w:val="chineseCounting"/>
      <w:suff w:val="nothing"/>
      <w:lvlText w:val="%1、"/>
      <w:lvlJc w:val="left"/>
      <w:rPr>
        <w:rFonts w:hint="eastAsia"/>
      </w:rPr>
    </w:lvl>
  </w:abstractNum>
  <w:abstractNum w:abstractNumId="1">
    <w:nsid w:val="730183C1"/>
    <w:multiLevelType w:val="singleLevel"/>
    <w:tmpl w:val="730183C1"/>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xOTYyODFkZGRlMWZiZTMwYzJmN2EyYzg4YzhjOGUifQ=="/>
  </w:docVars>
  <w:rsids>
    <w:rsidRoot w:val="00D347CC"/>
    <w:rsid w:val="000230E6"/>
    <w:rsid w:val="000E5891"/>
    <w:rsid w:val="0022768A"/>
    <w:rsid w:val="0025632D"/>
    <w:rsid w:val="003C3258"/>
    <w:rsid w:val="004A54AA"/>
    <w:rsid w:val="005A2FBD"/>
    <w:rsid w:val="00732938"/>
    <w:rsid w:val="007627AA"/>
    <w:rsid w:val="00835306"/>
    <w:rsid w:val="00875CF4"/>
    <w:rsid w:val="00944233"/>
    <w:rsid w:val="00A57690"/>
    <w:rsid w:val="00A92C38"/>
    <w:rsid w:val="00B40732"/>
    <w:rsid w:val="00B80935"/>
    <w:rsid w:val="00BB7E12"/>
    <w:rsid w:val="00D347CC"/>
    <w:rsid w:val="00D37F25"/>
    <w:rsid w:val="00F77DEA"/>
    <w:rsid w:val="17911818"/>
    <w:rsid w:val="2A3213E8"/>
    <w:rsid w:val="4CCC3D4E"/>
    <w:rsid w:val="56983779"/>
    <w:rsid w:val="683D24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alloon Text"/>
    <w:basedOn w:val="1"/>
    <w:autoRedefine/>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uiPriority w:val="0"/>
    <w:pPr>
      <w:ind w:left="200" w:leftChars="200"/>
    </w:pPr>
    <w:rPr>
      <w:rFonts w:ascii="Times New Roman" w:hAnsi="Times New Roman" w:cs="Times New Roman"/>
      <w:szCs w:val="24"/>
    </w:rPr>
  </w:style>
  <w:style w:type="character" w:styleId="10">
    <w:name w:val="footnote reference"/>
    <w:autoRedefine/>
    <w:qFormat/>
    <w:uiPriority w:val="0"/>
    <w:rPr>
      <w:vertAlign w:val="superscript"/>
    </w:rPr>
  </w:style>
  <w:style w:type="paragraph" w:customStyle="1" w:styleId="11">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autoRedefine/>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autoRedefine/>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2606</Words>
  <Characters>2777</Characters>
  <Lines>20</Lines>
  <Paragraphs>5</Paragraphs>
  <TotalTime>4</TotalTime>
  <ScaleCrop>false</ScaleCrop>
  <LinksUpToDate>false</LinksUpToDate>
  <CharactersWithSpaces>2783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猴小曦</cp:lastModifiedBy>
  <cp:lastPrinted>2018-01-30T06:12:00Z</cp:lastPrinted>
  <dcterms:modified xsi:type="dcterms:W3CDTF">2024-01-08T02:52:31Z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B2A22983A77E4585AD2129CB86FEB4FA_13</vt:lpwstr>
  </property>
</Properties>
</file>